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Hall Green and Moseley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Hall Green and Moseley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Hall Green and Moseley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Hall Green and Moseley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Hall Green and Moseley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Hall Green and Moseley are estimated to have a score of 1-2 on the PGSI (low-risk gambling), whilst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67.7% </w:t>
      </w:r>
      <w:r w:rsidRPr="004747BF">
        <w:rPr>
          <w:rFonts w:ascii="Libre Franklin Light" w:eastAsia="Times New Roman" w:hAnsi="Libre Franklin Light" w:cs="Calibri Light"/>
        </w:rPr>
        <w:t xml:space="preserve">of those respondents classified as PGSI 8+ in Birmingham Hall Green and Moseley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Hall Green and Moseley is estimated to be </w:t>
      </w:r>
      <w:r w:rsidRPr="00773DF7">
        <w:rPr>
          <w:rFonts w:ascii="Libre Franklin Light" w:eastAsia="Times New Roman" w:hAnsi="Libre Franklin Light" w:cs="Calibri Light"/>
          <w:b/>
          <w:bCs/>
          <w:color w:val="C45911" w:themeColor="accent2" w:themeShade="BF"/>
        </w:rPr>
        <w:t xml:space="preserve">£3,736,915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Hall Green and Moseley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Hall Green and Moseley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Hall Green and Moseley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Hall Green and Moseley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Hall Green and Mose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Hall Green and Moseley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Hall Green and Mose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Hall Green and Moseley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Hall Green and Mose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Hall Green and Moseley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Hall Green and Moseley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Hall Green and Moseley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Hall Green and Moseley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Hall Green and Moseley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Hall Green and Moseley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£3,736,915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Hall Green and Moseley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£60,868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£1,258,789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£90,175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£25,362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£46,497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£2,255,224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£3,736,915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Hall Green and Moseley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Hall Green and Moseley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Hall Green and Moseley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Hall Green and Moseley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Hall Green and Moseley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Hall Green and Moseley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Hall Green and Moseley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Hall Green and Moseley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ABB9753-5E40-4303-9482-DED34D2F3DE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